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671.xml.htm"/>
      <w:bookmarkStart w:id="1" w:name="kswkform4_1789071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Pelizzon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SQUADRON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302,369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6,201,764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44,384</w:t>
            </w:r>
            <w:r>
              <w:rPr>
                <w:rFonts w:ascii="Times;serif" w:hAnsi="Times;serif"/>
                <w:color w:val="008000"/>
                <w:position w:val="7"/>
                <w:sz w:val="16"/>
                <w:sz w:val="20"/>
                <w:shd w:fill="FFFFFF" w:val="clear"/>
              </w:rPr>
              <w:t>(4)</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$21.00 to $21.69,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Squadron Capital LLC ("Squadron"). As the President and a member of the Managing Committee of Squadron, the reporting person may be deemed to be the beneficial owner of these shares. The reporting person expressly disclaims beneficial ownership of these shares, except to the extent of his pecuniary interest therein. The inclusion of these shares in this report shall not be deemed to be an admission of beneficial ownership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stock awards totaling 17,959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Gerritzen,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17"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4083</Characters>
  <CharactersWithSpaces>4764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