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3597.xml.htm"/>
      <w:bookmarkStart w:id="1" w:name="kswkform4_17885535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Pelizzon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SQUADRON CAPITAL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89"/>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23.35</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6,504,133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44,384</w:t>
            </w:r>
            <w:r>
              <w:rPr>
                <w:rFonts w:ascii="Times;serif" w:hAnsi="Times;serif"/>
                <w:color w:val="008000"/>
                <w:position w:val="7"/>
                <w:sz w:val="16"/>
                <w:sz w:val="20"/>
                <w:shd w:fill="FFFFFF" w:val="clear"/>
              </w:rPr>
              <w:t>(4)</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$23.01 to $23.74,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Squadron Capital LLC ("Squadron"). As the President and a member of the Managing Committee of Squadron, the reporting person may be deemed to be the beneficial owner of these shares. The reporting person expressly disclaims beneficial ownership of these shares, except to the extent of his pecuniary interest therein. The inclusion of these shares in this report shall not be deemed to be an admission of beneficial ownership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stock awards totaling 17,959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J. Gerritzen,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217"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756</Words>
  <Characters>4082</Characters>
  <CharactersWithSpaces>4763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