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Pritzker Jennifer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S. MICHIGAN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998"/>
        <w:gridCol w:w="431"/>
        <w:gridCol w:w="786"/>
        <w:gridCol w:w="1247"/>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302,369</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21.01</w:t>
            </w:r>
            <w:r>
              <w:rPr>
                <w:rFonts w:ascii="Times;serif" w:hAnsi="Times;serif"/>
                <w:color w:val="008000"/>
                <w:position w:val="7"/>
                <w:sz w:val="16"/>
                <w:sz w:val="20"/>
                <w:shd w:fill="FFFFFF" w:val="clear"/>
              </w:rPr>
              <w:t>(2)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6,201,764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$21.00 to $21.69,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Squadron Capital LLC ("Squadron"), a manager-managed limited liability company. As one of two members of the Managing Committee of Squadron, the reporting person may be deemed to be the beneficial owner of these securities. The reporting person expressly disclaims beneficial ownership of these securities,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the Tawani Foundation. As the sole member of the Tawani Foundation,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the Pritzker Military Foundation. As the sole member of the Pritzker Military Foundation,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are held by the reporting person's spouse, and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by the Pritzker Military Museum and Library ("PMML"). As the sole member of PMML, the reporting person may be deemed to be the beneficial owner of these shares. The reporting person expressly disclaims beneficial ownership of these shares,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N. Pritzker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0165"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5065</Characters>
  <CharactersWithSpaces>5911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