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7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______________________</w:t>
      </w:r>
    </w:p>
    <w:p>
      <w:pPr>
        <w:spacing w:after="0" w:line="15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color w:val="auto"/>
        </w:rPr>
        <w:t xml:space="preserve">Date of Report (Date of earliest event reported): </w:t>
      </w:r>
      <w:r>
        <w:rPr>
          <w:rFonts w:ascii="Times New Roman" w:cs="Times New Roman" w:eastAsia="Times New Roman" w:hAnsi="Times New Roman"/>
          <w:sz w:val="11"/>
          <w:szCs w:val="11"/>
          <w:b w:val="1"/>
          <w:bCs w:val="1"/>
          <w:color w:val="auto"/>
        </w:rPr>
        <w:t>October 27, 2026</w:t>
      </w:r>
    </w:p>
    <w:p>
      <w:pPr>
        <w:spacing w:after="0" w:line="4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1"/>
          <w:szCs w:val="11"/>
          <w:b w:val="1"/>
          <w:bCs w:val="1"/>
          <w:color w:val="auto"/>
        </w:rPr>
        <w:t>OrthoPediatrics Corp.</w:t>
      </w:r>
    </w:p>
    <w:p>
      <w:pPr>
        <w:spacing w:after="0" w:line="2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97"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66"/>
              <w:spacing w:after="0"/>
              <w:rPr>
                <w:sz w:val="20"/>
                <w:szCs w:val="20"/>
                <w:color w:val="auto"/>
              </w:rPr>
            </w:pPr>
            <w:r>
              <w:rPr>
                <w:rFonts w:ascii="Times New Roman" w:cs="Times New Roman" w:eastAsia="Times New Roman" w:hAnsi="Times New Roman"/>
                <w:sz w:val="11"/>
                <w:szCs w:val="11"/>
                <w:b w:val="1"/>
                <w:bCs w:val="1"/>
                <w:color w:val="auto"/>
                <w:w w:val="96"/>
              </w:rPr>
              <w:t>001-38242</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26-1761833</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jc w:val="center"/>
              <w:ind w:left="26"/>
              <w:spacing w:after="0"/>
              <w:rPr>
                <w:sz w:val="20"/>
                <w:szCs w:val="20"/>
                <w:color w:val="auto"/>
              </w:rPr>
            </w:pPr>
            <w:r>
              <w:rPr>
                <w:rFonts w:ascii="Times New Roman" w:cs="Times New Roman" w:eastAsia="Times New Roman" w:hAnsi="Times New Roman"/>
                <w:sz w:val="11"/>
                <w:szCs w:val="11"/>
                <w:color w:val="auto"/>
                <w:w w:val="98"/>
              </w:rPr>
              <w:t>(Commission File Number)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w w:val="97"/>
              </w:rPr>
              <w:t>(I.R.S. Employer Identification Number)</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2850 Frontier Drive</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94"/>
              </w:rPr>
              <w:t>46582</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5"/>
              </w:rPr>
              <w:t>Warsaw, Indiana</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5"/>
          </w:tcPr>
          <w:p>
            <w:pPr>
              <w:jc w:val="center"/>
              <w:ind w:left="66"/>
              <w:spacing w:after="0"/>
              <w:rPr>
                <w:sz w:val="20"/>
                <w:szCs w:val="20"/>
                <w:color w:val="auto"/>
              </w:rPr>
            </w:pPr>
            <w:r>
              <w:rPr>
                <w:rFonts w:ascii="Times New Roman" w:cs="Times New Roman" w:eastAsia="Times New Roman" w:hAnsi="Times New Roman"/>
                <w:sz w:val="11"/>
                <w:szCs w:val="11"/>
                <w:color w:val="auto"/>
                <w:w w:val="98"/>
              </w:rPr>
              <w:t>(Address of principal executive offices)</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(Zip Code)</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60" w:type="dxa"/>
            <w:vAlign w:val="bottom"/>
            <w:gridSpan w:val="9"/>
          </w:tcPr>
          <w:p>
            <w:pPr>
              <w:jc w:val="center"/>
              <w:ind w:right="180"/>
              <w:spacing w:after="0"/>
              <w:rPr>
                <w:sz w:val="20"/>
                <w:szCs w:val="20"/>
                <w:color w:val="auto"/>
              </w:rPr>
            </w:pPr>
            <w:r>
              <w:rPr>
                <w:rFonts w:ascii="Times New Roman" w:cs="Times New Roman" w:eastAsia="Times New Roman" w:hAnsi="Times New Roman"/>
                <w:sz w:val="11"/>
                <w:szCs w:val="11"/>
                <w:color w:val="auto"/>
                <w:w w:val="97"/>
              </w:rPr>
              <w:t xml:space="preserve">Registrant’s telephone number, including area code: </w:t>
            </w:r>
            <w:r>
              <w:rPr>
                <w:rFonts w:ascii="Times New Roman" w:cs="Times New Roman" w:eastAsia="Times New Roman" w:hAnsi="Times New Roman"/>
                <w:sz w:val="11"/>
                <w:szCs w:val="11"/>
                <w:b w:val="1"/>
                <w:bCs w:val="1"/>
                <w:color w:val="auto"/>
                <w:w w:val="97"/>
              </w:rPr>
              <w:t>(574) 268-6379</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6"/>
          </w:tcPr>
          <w:p>
            <w:pPr>
              <w:jc w:val="center"/>
              <w:ind w:left="6"/>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8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gridSpan w:val="6"/>
          </w:tcPr>
          <w:p>
            <w:pPr>
              <w:jc w:val="center"/>
              <w:ind w:right="46"/>
              <w:spacing w:after="0"/>
              <w:rPr>
                <w:sz w:val="20"/>
                <w:szCs w:val="20"/>
                <w:color w:val="auto"/>
              </w:rPr>
            </w:pPr>
            <w:r>
              <w:rPr>
                <w:rFonts w:ascii="Times New Roman" w:cs="Times New Roman" w:eastAsia="Times New Roman" w:hAnsi="Times New Roman"/>
                <w:sz w:val="11"/>
                <w:szCs w:val="11"/>
                <w:color w:val="auto"/>
                <w:w w:val="98"/>
              </w:rPr>
              <w:t>Common Stock, $0.00025 par value per share</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center"/>
              <w:ind w:left="86"/>
              <w:spacing w:after="0"/>
              <w:rPr>
                <w:sz w:val="20"/>
                <w:szCs w:val="20"/>
                <w:color w:val="auto"/>
              </w:rPr>
            </w:pPr>
            <w:r>
              <w:rPr>
                <w:rFonts w:ascii="Times New Roman" w:cs="Times New Roman" w:eastAsia="Times New Roman" w:hAnsi="Times New Roman"/>
                <w:sz w:val="11"/>
                <w:szCs w:val="11"/>
                <w:color w:val="auto"/>
                <w:w w:val="93"/>
              </w:rPr>
              <w:t>KIDS</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4"/>
          </w:tcPr>
          <w:p>
            <w:pPr>
              <w:jc w:val="center"/>
              <w:ind w:right="86"/>
              <w:spacing w:after="0"/>
              <w:rPr>
                <w:sz w:val="20"/>
                <w:szCs w:val="20"/>
                <w:color w:val="auto"/>
              </w:rPr>
            </w:pPr>
            <w:r>
              <w:rPr>
                <w:rFonts w:ascii="Times New Roman" w:cs="Times New Roman" w:eastAsia="Times New Roman" w:hAnsi="Times New Roman"/>
                <w:sz w:val="11"/>
                <w:szCs w:val="11"/>
                <w:color w:val="auto"/>
                <w:w w:val="97"/>
              </w:rPr>
              <w:t>Nasdaq Global Market</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1"/>
                <w:szCs w:val="11"/>
                <w:color w:val="auto"/>
              </w:rPr>
              <w:t>Check</w:t>
            </w:r>
          </w:p>
        </w:tc>
        <w:tc>
          <w:tcPr>
            <w:tcW w:w="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the</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appropriate</w:t>
            </w:r>
          </w:p>
        </w:tc>
        <w:tc>
          <w:tcPr>
            <w:tcW w:w="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box</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below</w:t>
            </w:r>
          </w:p>
        </w:tc>
        <w:tc>
          <w:tcPr>
            <w:tcW w:w="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if</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w:t>
            </w:r>
          </w:p>
        </w:tc>
        <w:tc>
          <w:tcPr>
            <w:tcW w:w="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Form</w:t>
            </w:r>
          </w:p>
        </w:tc>
        <w:tc>
          <w:tcPr>
            <w:tcW w:w="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8-K</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filing</w:t>
            </w:r>
          </w:p>
        </w:tc>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is</w:t>
            </w:r>
          </w:p>
        </w:tc>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intended</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w:t>
            </w:r>
          </w:p>
        </w:tc>
        <w:tc>
          <w:tcPr>
            <w:tcW w:w="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simultaneously</w:t>
            </w:r>
          </w:p>
        </w:tc>
        <w:tc>
          <w:tcPr>
            <w:tcW w:w="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satisfy</w:t>
            </w:r>
          </w:p>
        </w:tc>
        <w:tc>
          <w:tcPr>
            <w:tcW w:w="3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the</w:t>
            </w:r>
          </w:p>
        </w:tc>
        <w:tc>
          <w:tcPr>
            <w:tcW w:w="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filing</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98"/>
              </w:rPr>
              <w:t>obligation</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86"/>
              </w:rPr>
              <w:t>of</w:t>
            </w:r>
          </w:p>
        </w:tc>
        <w:tc>
          <w:tcPr>
            <w:tcW w:w="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the</w:t>
            </w:r>
          </w:p>
        </w:tc>
        <w:tc>
          <w:tcPr>
            <w:tcW w:w="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registrant</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under</w:t>
            </w:r>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any</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following</w:t>
            </w:r>
          </w:p>
        </w:tc>
        <w:tc>
          <w:tcPr>
            <w:tcW w:w="5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98"/>
              </w:rPr>
              <w:t>provisions:</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0" w:hanging="596"/>
        <w:spacing w:after="0"/>
        <w:tabs>
          <w:tab w:leader="none" w:pos="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9" w:lineRule="exact"/>
        <w:rPr>
          <w:rFonts w:ascii="MS PGothic" w:cs="MS PGothic" w:eastAsia="MS PGothic" w:hAnsi="MS PGothic"/>
          <w:sz w:val="11"/>
          <w:szCs w:val="11"/>
          <w:color w:val="auto"/>
        </w:rPr>
      </w:pPr>
    </w:p>
    <w:p>
      <w:pPr>
        <w:ind w:left="600" w:hanging="596"/>
        <w:spacing w:after="0"/>
        <w:tabs>
          <w:tab w:leader="none" w:pos="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26" w:lineRule="exact"/>
        <w:rPr>
          <w:rFonts w:ascii="MS PGothic" w:cs="MS PGothic" w:eastAsia="MS PGothic" w:hAnsi="MS PGothic"/>
          <w:sz w:val="11"/>
          <w:szCs w:val="11"/>
          <w:color w:val="auto"/>
        </w:rPr>
      </w:pPr>
    </w:p>
    <w:p>
      <w:pPr>
        <w:ind w:left="600" w:hanging="596"/>
        <w:spacing w:after="0"/>
        <w:tabs>
          <w:tab w:leader="none" w:pos="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1"/>
          <w:szCs w:val="11"/>
          <w:color w:val="auto"/>
        </w:rPr>
      </w:pPr>
    </w:p>
    <w:p>
      <w:pPr>
        <w:ind w:left="600" w:hanging="596"/>
        <w:spacing w:after="0"/>
        <w:tabs>
          <w:tab w:leader="none" w:pos="6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under the Securities Act (17 CFR 230.405) or Rule 12b-2 under the Exchange Act (17 CFR 240.12b-2).</w:t>
      </w:r>
    </w:p>
    <w:p>
      <w:pPr>
        <w:spacing w:after="0" w:line="6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9"/>
          <w:szCs w:val="9"/>
          <w:color w:val="auto"/>
        </w:rPr>
        <w:t>☐</w:t>
      </w:r>
    </w:p>
    <w:p>
      <w:pPr>
        <w:spacing w:after="0" w:line="7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598805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executive officers of OrthoPediatrics Corp. have several upcoming presentations to representatives of investors and analysts. The officers intend to use the material filed as Exhibit 99.1 herewith, in whole or in part, as part of those presentations.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information in this Item 7.01, including the information incorporated by reference herein from Exhibit 99.1, is furnished pursuant to Item 7.01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7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   Exhibits</w:t>
            </w:r>
          </w:p>
        </w:tc>
        <w:tc>
          <w:tcPr>
            <w:tcW w:w="6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9"/>
        </w:trPr>
        <w:tc>
          <w:tcPr>
            <w:tcW w:w="320" w:type="dxa"/>
            <w:vAlign w:val="bottom"/>
          </w:tcPr>
          <w:p>
            <w:pPr>
              <w:spacing w:after="0"/>
              <w:rPr>
                <w:sz w:val="12"/>
                <w:szCs w:val="12"/>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Exhibit No.</w:t>
            </w: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Description</w:t>
            </w:r>
          </w:p>
        </w:tc>
      </w:tr>
      <w:tr>
        <w:trPr>
          <w:trHeight w:val="20"/>
        </w:trPr>
        <w:tc>
          <w:tcPr>
            <w:tcW w:w="3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60"/>
        </w:trPr>
        <w:tc>
          <w:tcPr>
            <w:tcW w:w="3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p>
        </w:tc>
        <w:tc>
          <w:tcPr>
            <w:tcW w:w="62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OrthoPediatrics Corp. Investor Presentation dated October 2026</w:t>
            </w:r>
          </w:p>
        </w:tc>
      </w:tr>
      <w:tr>
        <w:trPr>
          <w:trHeight w:val="20"/>
        </w:trPr>
        <w:tc>
          <w:tcPr>
            <w:tcW w:w="3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r>
    </w:tbl>
    <w:p>
      <w:pPr>
        <w:spacing w:after="0" w:line="30" w:lineRule="exact"/>
        <w:rPr>
          <w:sz w:val="20"/>
          <w:szCs w:val="20"/>
          <w:color w:val="auto"/>
        </w:rPr>
      </w:pPr>
    </w:p>
    <w:p>
      <w:pPr>
        <w:ind w:left="1920" w:hanging="826"/>
        <w:spacing w:after="0"/>
        <w:tabs>
          <w:tab w:leader="none" w:pos="19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w:t>
      </w:r>
    </w:p>
    <w:p>
      <w:pPr>
        <w:spacing w:after="0" w:line="75" w:lineRule="exact"/>
        <w:rPr>
          <w:rFonts w:ascii="Times New Roman" w:cs="Times New Roman" w:eastAsia="Times New Roman" w:hAnsi="Times New Roman"/>
          <w:sz w:val="13"/>
          <w:szCs w:val="13"/>
          <w:color w:val="auto"/>
        </w:rPr>
      </w:pPr>
    </w:p>
    <w:p>
      <w:pPr>
        <w:ind w:left="53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593090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OrthoPediatrics Corp.</w:t>
      </w:r>
    </w:p>
    <w:p>
      <w:pPr>
        <w:spacing w:after="0" w:line="202" w:lineRule="exact"/>
        <w:rPr>
          <w:sz w:val="20"/>
          <w:szCs w:val="20"/>
          <w:color w:val="auto"/>
        </w:rPr>
      </w:pPr>
    </w:p>
    <w:p>
      <w:pPr>
        <w:spacing w:after="0"/>
        <w:tabs>
          <w:tab w:leader="none" w:pos="5480" w:val="left"/>
          <w:tab w:leader="none" w:pos="6060" w:val="left"/>
        </w:tabs>
        <w:rPr>
          <w:sz w:val="20"/>
          <w:szCs w:val="20"/>
          <w:color w:val="auto"/>
        </w:rPr>
      </w:pPr>
      <w:r>
        <w:rPr>
          <w:rFonts w:ascii="Times New Roman" w:cs="Times New Roman" w:eastAsia="Times New Roman" w:hAnsi="Times New Roman"/>
          <w:sz w:val="13"/>
          <w:szCs w:val="13"/>
          <w:color w:val="auto"/>
        </w:rPr>
        <w:t>Date:  October 27,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Daniel J. Gerritzen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17145</wp:posOffset>
            </wp:positionV>
            <wp:extent cx="330327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3270" cy="11430"/>
                    </a:xfrm>
                    <a:prstGeom prst="rect">
                      <a:avLst/>
                    </a:prstGeom>
                    <a:noFill/>
                  </pic:spPr>
                </pic:pic>
              </a:graphicData>
            </a:graphic>
          </wp:anchor>
        </w:drawing>
      </w:r>
    </w:p>
    <w:p>
      <w:pPr>
        <w:spacing w:after="0" w:line="2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3"/>
          <w:szCs w:val="13"/>
          <w:color w:val="auto"/>
        </w:rPr>
        <w:t>Daniel J. Gerritzen,</w:t>
      </w:r>
    </w:p>
    <w:p>
      <w:pPr>
        <w:ind w:left="6080"/>
        <w:spacing w:after="0"/>
        <w:rPr>
          <w:sz w:val="20"/>
          <w:szCs w:val="20"/>
          <w:color w:val="auto"/>
        </w:rPr>
      </w:pPr>
      <w:r>
        <w:rPr>
          <w:rFonts w:ascii="Times New Roman" w:cs="Times New Roman" w:eastAsia="Times New Roman" w:hAnsi="Times New Roman"/>
          <w:sz w:val="13"/>
          <w:szCs w:val="13"/>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- 2 -</w:t>
      </w:r>
    </w:p>
    <w:p>
      <w:pPr>
        <w:sectPr>
          <w:pgSz w:w="11900" w:h="16838" w:orient="portrait"/>
          <w:cols w:equalWidth="0" w:num="1">
            <w:col w:w="10159"/>
          </w:cols>
          <w:pgMar w:left="300" w:top="98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2026-10-27T15:28:59Z</dcterms:created>
  <dcterms:modified xsi:type="dcterms:W3CDTF">2026-10-27T15:28:59Z</dcterms:modified>
</cp:coreProperties>
</file>