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Squadron Capital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 HARTFORD AVE., PO BOX 223</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GRANBY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06035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ORTHOPEDIATRICS CORP</w:t>
              </w:r>
            </w:hyperlink>
            <w:r>
              <w:rPr/>
              <w:t xml:space="preserve"> [ </w:t>
            </w:r>
            <w:r>
              <w:rPr>
                <w:rFonts w:ascii="Times;serif" w:hAnsi="Times;serif"/>
                <w:color w:val="0000FF"/>
                <w:sz w:val="24"/>
                <w:shd w:fill="FFFFFF" w:val="clear"/>
              </w:rPr>
              <w:t>KIDS</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792"/>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23.35</w:t>
            </w:r>
            <w:r>
              <w:rPr>
                <w:rFonts w:ascii="Times;serif" w:hAnsi="Times;serif"/>
                <w:color w:val="008000"/>
                <w:position w:val="7"/>
                <w:sz w:val="16"/>
                <w:sz w:val="20"/>
                <w:shd w:fill="FFFFFF" w:val="clear"/>
              </w:rPr>
              <w:t>(2)</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6,504,133</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Squadron Capital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 HARTFORD AVE., PO BOX 223</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GRANBY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06035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Squadron Capital Holdings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104 S. MICHIGAN AVE.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was undertaken by Squadron Capital LLC to provide additional capital for its other portfolio businesses.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$23.01 to $23.74,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held directly by Squadron Capital LLC. Squadron Capital Holdings LLC is the controlling member of Squadron Capital LLC.</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R. Pelizzon, President of Squadron Capital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Mary Falcon, Manager of Squadron Capital Holdings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9228" TargetMode="External"/><Relationship Id="rId5" Type="http://schemas.openxmlformats.org/officeDocument/2006/relationships/hyperlink" Target="http://www.sec.gov/cgi-bin/browse-edgar?action=getcompany&amp;CIK=00014254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719228" TargetMode="External"/><Relationship Id="rId9" Type="http://schemas.openxmlformats.org/officeDocument/2006/relationships/hyperlink" Target="http://www.sec.gov/cgi-bin/browse-edgar?action=getcompany&amp;CIK=0001731171"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740</Words>
  <Characters>4015</Characters>
  <CharactersWithSpaces>4659</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